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60" w:after="80"/>
        <w:jc w:val="center"/>
      </w:pPr>
      <w:r>
        <w:rPr>
          <w:rFonts w:ascii="Arial" w:eastAsia="Arial" w:hAnsi="Arial" w:cs="Arial"/>
          <w:b/>
          <w:bCs/>
          <w:color w:val="000000"/>
          <w:sz w:val="36"/>
          <w:szCs w:val="36"/>
        </w:rPr>
        <w:t xml:space="preserve">ADDENDUM PARTNERPROGRAMMA FUNCTIO</w:t>
      </w:r>
    </w:p>
    <w:p>
      <w:pPr>
        <w:spacing w:before="0" w:after="120"/>
        <w:jc w:val="center"/>
      </w:pPr>
      <w:r>
        <w:rPr>
          <w:rFonts w:ascii="Arial" w:eastAsia="Arial" w:hAnsi="Arial" w:cs="Arial"/>
          <w:i/>
          <w:iCs/>
          <w:color w:val="000000"/>
        </w:rPr>
        <w:t xml:space="preserve">Versie 1.2  |  Datum: 26 september 2026  |  Bij de Algemene Voorwaarden Functio</w:t>
      </w:r>
    </w:p>
    <w:p>
      <w:pPr>
        <w:spacing w:before="40" w:after="40"/>
      </w:pPr>
      <w:r>
        <w:rPr>
          <w:rFonts w:ascii="Arial" w:eastAsia="Arial" w:hAnsi="Arial" w:cs="Arial"/>
          <w:color w:val="000000"/>
        </w:rPr>
        <w:t xml:space="preserve">Dit Addendum is opgesteld door KND, Karin Daanje, handelend onder de naam KND Management, gevestigd te Dominee van Dorpstraat 8-B, 7081 BG Gendringen, ingeschreven bij de Kamer van Koophandel onder nummer 42107447 (hierna: ‘KND’), en is van toepassing op iedere Partnerovereenkomst tussen KND en een Partner.</w:t>
      </w:r>
    </w:p>
    <w:p>
      <w:pPr>
        <w:spacing w:before="320" w:after="80"/>
      </w:pPr>
      <w:r>
        <w:rPr>
          <w:rFonts w:ascii="Arial" w:eastAsia="Arial" w:hAnsi="Arial" w:cs="Arial"/>
          <w:b/>
          <w:bCs/>
          <w:color w:val="000000"/>
          <w:sz w:val="22"/>
          <w:szCs w:val="22"/>
        </w:rPr>
        <w:t xml:space="preserve">Artikel 1 – Verhouding tot de Algemene Voorwaarden</w:t>
      </w:r>
    </w:p>
    <w:p>
      <w:pPr>
        <w:spacing w:before="40" w:after="40"/>
      </w:pPr>
      <w:r>
        <w:rPr>
          <w:rFonts w:ascii="Arial" w:eastAsia="Arial" w:hAnsi="Arial" w:cs="Arial"/>
          <w:color w:val="000000"/>
        </w:rPr>
        <w:t xml:space="preserve">1.1 Dit Addendum vult de Algemene Voorwaarden Functio aan, zoals van tijd tot tijd gewijzigd conform artikel 14 daarvan (hierna: ‘AV’), en maakt deel uit van de Overeenkomst als bedoeld in artikel 1 AV.</w:t>
      </w:r>
    </w:p>
    <w:p>
      <w:pPr>
        <w:spacing w:before="40" w:after="40"/>
      </w:pPr>
      <w:r>
        <w:rPr>
          <w:rFonts w:ascii="Arial" w:eastAsia="Arial" w:hAnsi="Arial" w:cs="Arial"/>
          <w:color w:val="000000"/>
        </w:rPr>
        <w:t xml:space="preserve">1.2 Begrippen met een hoofdletter hebben de betekenis die daaraan in de AV is gegeven, tenzij in dit Addendum anders bepaald.</w:t>
      </w:r>
    </w:p>
    <w:p>
      <w:pPr>
        <w:spacing w:before="40" w:after="40"/>
      </w:pPr>
      <w:r>
        <w:rPr>
          <w:rFonts w:ascii="Arial" w:eastAsia="Arial" w:hAnsi="Arial" w:cs="Arial"/>
          <w:color w:val="000000"/>
        </w:rPr>
        <w:t xml:space="preserve">1.3 Bij strijdigheid tussen dit Addendum en de AV gaat dit Addendum voor. Bij strijdigheid tussen de Partnerovereenkomst en dit Addendum gaat de Partnerovereenkomst voor. Voor het overige blijven de AV onverkort van toepassing.</w:t>
      </w:r>
    </w:p>
    <w:p>
      <w:pPr>
        <w:spacing w:before="320" w:after="80"/>
      </w:pPr>
      <w:r>
        <w:rPr>
          <w:rFonts w:ascii="Arial" w:eastAsia="Arial" w:hAnsi="Arial" w:cs="Arial"/>
          <w:b/>
          <w:bCs/>
          <w:color w:val="000000"/>
          <w:sz w:val="22"/>
          <w:szCs w:val="22"/>
        </w:rPr>
        <w:t xml:space="preserve">Artikel 2 – Aanvullende definities</w:t>
      </w:r>
    </w:p>
    <w:p>
      <w:pPr>
        <w:spacing w:before="40" w:after="40"/>
      </w:pPr>
      <w:r>
        <w:rPr>
          <w:rFonts w:ascii="Arial" w:eastAsia="Arial" w:hAnsi="Arial" w:cs="Arial"/>
          <w:color w:val="000000"/>
        </w:rPr>
        <w:t xml:space="preserve">In dit Addendum wordt aanvullend verstaan onder:</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Partner: </w:t>
      </w:r>
      <w:r>
        <w:rPr>
          <w:rFonts w:ascii="Arial" w:eastAsia="Arial" w:hAnsi="Arial" w:cs="Arial"/>
          <w:color w:val="000000"/>
        </w:rPr>
        <w:t xml:space="preserve">de Klant die de Dienst op grond van dit Addendum inzet om deze aan Eindklanten te leveren of Eindklanten aan te brengen.</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Licentiehouder: </w:t>
      </w:r>
      <w:r>
        <w:rPr>
          <w:rFonts w:ascii="Arial" w:eastAsia="Arial" w:hAnsi="Arial" w:cs="Arial"/>
          <w:color w:val="000000"/>
        </w:rPr>
        <w:t xml:space="preserve">de Partner die de Dienst onder eigen contract aan zijn Eindklanten levert, implementeert en factureert.</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Aanbrengpartner: </w:t>
      </w:r>
      <w:r>
        <w:rPr>
          <w:rFonts w:ascii="Arial" w:eastAsia="Arial" w:hAnsi="Arial" w:cs="Arial"/>
          <w:color w:val="000000"/>
        </w:rPr>
        <w:t xml:space="preserve">de Partner die Eindklanten aanbrengt, waarna KND rechtstreeks met de Eindklant contracteert en factureert.</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Eindklant: </w:t>
      </w:r>
      <w:r>
        <w:rPr>
          <w:rFonts w:ascii="Arial" w:eastAsia="Arial" w:hAnsi="Arial" w:cs="Arial"/>
          <w:color w:val="000000"/>
        </w:rPr>
        <w:t xml:space="preserve">de rechtspersoon aan wie de Licentiehouder de Dienst levert of die door de Aanbrengpartner is aangebracht.</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Eindklantomgeving: </w:t>
      </w:r>
      <w:r>
        <w:rPr>
          <w:rFonts w:ascii="Arial" w:eastAsia="Arial" w:hAnsi="Arial" w:cs="Arial"/>
          <w:color w:val="000000"/>
        </w:rPr>
        <w:t xml:space="preserve">de afgescheiden omgeving binnen de Dienst die voor één Eindklant wordt ingericht.</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Partneromgeving: </w:t>
      </w:r>
      <w:r>
        <w:rPr>
          <w:rFonts w:ascii="Arial" w:eastAsia="Arial" w:hAnsi="Arial" w:cs="Arial"/>
          <w:color w:val="000000"/>
        </w:rPr>
        <w:t xml:space="preserve">de omgeving waarin de Licentiehouder zijn Eindklantomgevingen beheert.</w:t>
      </w:r>
    </w:p>
    <w:p>
      <w:pPr>
        <w:spacing w:before="30" w:after="30"/>
        <w:ind w:left="880" w:hanging="400"/>
      </w:pPr>
      <w:r>
        <w:rPr>
          <w:rFonts w:ascii="Arial" w:eastAsia="Arial" w:hAnsi="Arial" w:cs="Arial"/>
          <w:color w:val="000000"/>
        </w:rPr>
        <w:t>–</w:t>
        <w:tab/>
      </w:r>
      <w:r>
        <w:rPr>
          <w:rFonts w:ascii="Arial" w:eastAsia="Arial" w:hAnsi="Arial" w:cs="Arial"/>
          <w:b/>
          <w:bCs/>
          <w:color w:val="000000"/>
        </w:rPr>
        <w:t xml:space="preserve">Partnerovereenkomst: </w:t>
      </w:r>
      <w:r>
        <w:rPr>
          <w:rFonts w:ascii="Arial" w:eastAsia="Arial" w:hAnsi="Arial" w:cs="Arial"/>
          <w:color w:val="000000"/>
        </w:rPr>
        <w:t xml:space="preserve">de overeenkomst tussen KND en Partner waarin de commerciële afspraken zijn vastgelegd, waaronder tarieven, kortingen, vergoedingen, commissies en looptijd.</w:t>
      </w:r>
    </w:p>
    <w:p>
      <w:pPr>
        <w:spacing w:before="320" w:after="80"/>
      </w:pPr>
      <w:r>
        <w:rPr>
          <w:rFonts w:ascii="Arial" w:eastAsia="Arial" w:hAnsi="Arial" w:cs="Arial"/>
          <w:b/>
          <w:bCs/>
          <w:color w:val="000000"/>
          <w:sz w:val="22"/>
          <w:szCs w:val="22"/>
        </w:rPr>
        <w:t xml:space="preserve">Artikel 3 – Gebruiksrecht Licentiehouder</w:t>
      </w:r>
    </w:p>
    <w:p>
      <w:pPr>
        <w:spacing w:before="40" w:after="40"/>
      </w:pPr>
      <w:r>
        <w:rPr>
          <w:rFonts w:ascii="Arial" w:eastAsia="Arial" w:hAnsi="Arial" w:cs="Arial"/>
          <w:color w:val="000000"/>
        </w:rPr>
        <w:t xml:space="preserve">3.1 In afwijking van artikel 3.1 en 3.4 AV mag de Licentiehouder de Dienst inzetten om per Eindklant een Eindklantomgeving in te richten en te beheren, uitsluitend ten behoeve van die Eindklant.</w:t>
      </w:r>
    </w:p>
    <w:p>
      <w:pPr>
        <w:spacing w:before="40" w:after="40"/>
      </w:pPr>
      <w:r>
        <w:rPr>
          <w:rFonts w:ascii="Arial" w:eastAsia="Arial" w:hAnsi="Arial" w:cs="Arial"/>
          <w:color w:val="000000"/>
        </w:rPr>
        <w:t xml:space="preserve">3.2 Iedere Eindklant is één rechtspersoon met een eigen Eindklantomgeving. Verder doorverkopen, verhuren of sublicentiëren buiten het bepaalde in artikel 3.1 blijft niet toegestaan.</w:t>
      </w:r>
    </w:p>
    <w:p>
      <w:pPr>
        <w:spacing w:before="40" w:after="40"/>
      </w:pPr>
      <w:r>
        <w:rPr>
          <w:rFonts w:ascii="Arial" w:eastAsia="Arial" w:hAnsi="Arial" w:cs="Arial"/>
          <w:color w:val="000000"/>
        </w:rPr>
        <w:t xml:space="preserve">3.3 De Licentiehouder legt zijn Eindklanten schriftelijk voorwaarden op die ten minste dezelfde bescherming bieden aan KND en Karin Daanje Beheer B.V. als de artikelen 3, 5, 6 en 9 AV en artikel 9 van dit Addendum. Dit omvat ook de verplichtingen van de Eindklant als deployer onder de EU AI Act (artikel 5.3 en 5.4 AV).</w:t>
      </w:r>
    </w:p>
    <w:p>
      <w:pPr>
        <w:spacing w:before="40" w:after="40"/>
      </w:pPr>
      <w:r>
        <w:rPr>
          <w:rFonts w:ascii="Arial" w:eastAsia="Arial" w:hAnsi="Arial" w:cs="Arial"/>
          <w:color w:val="000000"/>
        </w:rPr>
        <w:t xml:space="preserve">3.4 De Licentiehouder staat in voor de naleving van de AV en dit Addendum door zijn Eindklanten, Gebruikers en medewerkers.</w:t>
      </w:r>
    </w:p>
    <w:p>
      <w:pPr>
        <w:spacing w:before="320" w:after="80"/>
      </w:pPr>
      <w:r>
        <w:rPr>
          <w:rFonts w:ascii="Arial" w:eastAsia="Arial" w:hAnsi="Arial" w:cs="Arial"/>
          <w:b/>
          <w:bCs/>
          <w:color w:val="000000"/>
          <w:sz w:val="22"/>
          <w:szCs w:val="22"/>
        </w:rPr>
        <w:t xml:space="preserve">Artikel 4 – Rollen en verantwoordelijkheden</w:t>
      </w:r>
    </w:p>
    <w:p>
      <w:pPr>
        <w:spacing w:before="40" w:after="40"/>
      </w:pPr>
      <w:r>
        <w:rPr>
          <w:rFonts w:ascii="Arial" w:eastAsia="Arial" w:hAnsi="Arial" w:cs="Arial"/>
          <w:color w:val="000000"/>
        </w:rPr>
        <w:t xml:space="preserve">4.1 De Licentiehouder verzorgt de implementatie, de eerstelijns support en het HR-advies bij zijn Eindklanten. KND levert het platform, de updates en de tweedelijns ondersteuning aan de Licentiehouder.</w:t>
      </w:r>
    </w:p>
    <w:p>
      <w:pPr>
        <w:spacing w:before="40" w:after="40"/>
      </w:pPr>
      <w:r>
        <w:rPr>
          <w:rFonts w:ascii="Arial" w:eastAsia="Arial" w:hAnsi="Arial" w:cs="Arial"/>
          <w:color w:val="000000"/>
        </w:rPr>
        <w:t xml:space="preserve">4.2 Bij een Aanbrengpartner contracteert en factureert KND de Eindklant rechtstreeks. Op die Overeenkomst zijn de AV van toepassing. KND of een door KND aangewezen implementatiepartner verzorgt de implementatie en support.</w:t>
      </w:r>
    </w:p>
    <w:p>
      <w:pPr>
        <w:spacing w:before="320" w:after="80"/>
      </w:pPr>
      <w:r>
        <w:rPr>
          <w:rFonts w:ascii="Arial" w:eastAsia="Arial" w:hAnsi="Arial" w:cs="Arial"/>
          <w:b/>
          <w:bCs/>
          <w:color w:val="000000"/>
          <w:sz w:val="22"/>
          <w:szCs w:val="22"/>
        </w:rPr>
        <w:t xml:space="preserve">Artikel 5 – Persoonsgegevens</w:t>
      </w:r>
    </w:p>
    <w:p>
      <w:pPr>
        <w:spacing w:before="40" w:after="40"/>
      </w:pPr>
      <w:r>
        <w:rPr>
          <w:rFonts w:ascii="Arial" w:eastAsia="Arial" w:hAnsi="Arial" w:cs="Arial"/>
          <w:color w:val="000000"/>
        </w:rPr>
        <w:t xml:space="preserve">5.1 In aanvulling op artikel 7 AV geldt dat voor iedere Eindklantomgeving de Eindklant verwerkingsverantwoordelijke is.</w:t>
      </w:r>
    </w:p>
    <w:p>
      <w:pPr>
        <w:spacing w:before="40" w:after="40"/>
      </w:pPr>
      <w:r>
        <w:rPr>
          <w:rFonts w:ascii="Arial" w:eastAsia="Arial" w:hAnsi="Arial" w:cs="Arial"/>
          <w:color w:val="000000"/>
        </w:rPr>
        <w:t xml:space="preserve">5.2 De Licentiehouder draagt er zorg voor dat met iedere Eindklant een verwerkersovereenkomst is gesloten waarin KND als (sub)verwerker is toegestaan. KND verwerkt persoonsgegevens uitsluitend op gedocumenteerde instructies van de Licentiehouder of de Eindklant.</w:t>
      </w:r>
    </w:p>
    <w:p>
      <w:pPr>
        <w:spacing w:before="40" w:after="40"/>
      </w:pPr>
      <w:r>
        <w:rPr>
          <w:rFonts w:ascii="Arial" w:eastAsia="Arial" w:hAnsi="Arial" w:cs="Arial"/>
          <w:color w:val="000000"/>
        </w:rPr>
        <w:t xml:space="preserve">5.3 De Licentiehouder staat in voor een rechtmatige grondslag voor de verwerking en voor de instructies van zijn Eindklanten. De (sub)verwerkers genoemd in artikel 7.3 AV en de regeling van artikel 7.4 AV gelden onverkort.</w:t>
      </w:r>
    </w:p>
    <w:p>
      <w:pPr>
        <w:spacing w:before="40" w:after="40"/>
      </w:pPr>
      <w:r>
        <w:rPr>
          <w:rFonts w:ascii="Arial" w:eastAsia="Arial" w:hAnsi="Arial" w:cs="Arial"/>
          <w:color w:val="000000"/>
        </w:rPr>
        <w:t xml:space="preserve">5.4 De Licentiehouder meldt KND onverwijld, en in ieder geval binnen 24 uur na ontdekking, iedere inbreuk of vermoedelijke inbreuk in verband met persoonsgegevens binnen een Eindklantomgeving, en stuurt verzoeken van betrokkenen die de Dienst raken direct door aan KND. KND meldt een inbreuk binnen haar eigen systemen of die van haar (sub)verwerkers onverwijld aan de Licentiehouder.</w:t>
      </w:r>
    </w:p>
    <w:p>
      <w:pPr>
        <w:spacing w:before="40" w:after="40"/>
      </w:pPr>
      <w:r>
        <w:rPr>
          <w:rFonts w:ascii="Arial" w:eastAsia="Arial" w:hAnsi="Arial" w:cs="Arial"/>
          <w:color w:val="000000"/>
        </w:rPr>
        <w:t xml:space="preserve">5.5 Voor account- en contactgegevens van Gebruikers die KND voor eigen doeleinden verwerkt, zoals accountbeheer, beveiliging, facturatie en servicecommunicatie, is KND zelf verwerkingsverantwoordelijke. Deze verwerking is beschreven in de privacyverklaring van KND op www.functiewaarderingsysteem.nl/privacy.</w:t>
      </w:r>
    </w:p>
    <w:p>
      <w:pPr>
        <w:spacing w:before="320" w:after="80"/>
      </w:pPr>
      <w:r>
        <w:rPr>
          <w:rFonts w:ascii="Arial" w:eastAsia="Arial" w:hAnsi="Arial" w:cs="Arial"/>
          <w:b/>
          <w:bCs/>
          <w:color w:val="000000"/>
          <w:sz w:val="22"/>
          <w:szCs w:val="22"/>
        </w:rPr>
        <w:t xml:space="preserve">Artikel 6 – Tarieven en facturatie</w:t>
      </w:r>
    </w:p>
    <w:p>
      <w:pPr>
        <w:spacing w:before="40" w:after="40"/>
      </w:pPr>
      <w:r>
        <w:rPr>
          <w:rFonts w:ascii="Arial" w:eastAsia="Arial" w:hAnsi="Arial" w:cs="Arial"/>
          <w:color w:val="000000"/>
        </w:rPr>
        <w:t xml:space="preserve">6.1 Tarieven, kortingen, vergoedingen, commissies en overige commerciële afspraken worden vastgelegd in de Partnerovereenkomst.</w:t>
      </w:r>
    </w:p>
    <w:p>
      <w:pPr>
        <w:spacing w:before="40" w:after="40"/>
      </w:pPr>
      <w:r>
        <w:rPr>
          <w:rFonts w:ascii="Arial" w:eastAsia="Arial" w:hAnsi="Arial" w:cs="Arial"/>
          <w:color w:val="000000"/>
        </w:rPr>
        <w:t xml:space="preserve">6.2 In afwijking van artikel 10.2 AV kan in de Partnerovereenkomst een andere factuurfrequentie en grondslag worden overeengekomen, zoals facturatie per kwartaal op basis van het aantal actieve Eindklantomgevingen op een peildatum.</w:t>
      </w:r>
    </w:p>
    <w:p>
      <w:pPr>
        <w:spacing w:before="40" w:after="40"/>
      </w:pPr>
      <w:r>
        <w:rPr>
          <w:rFonts w:ascii="Arial" w:eastAsia="Arial" w:hAnsi="Arial" w:cs="Arial"/>
          <w:color w:val="000000"/>
        </w:rPr>
        <w:t xml:space="preserve">6.3 De Licentiehouder is de vergoedingen aan KND verschuldigd, ongeacht of en wanneer zijn Eindklanten aan hem betalen. Artikel 10.3 tot en met 10.6 AV gelden onverkort.</w:t>
      </w:r>
    </w:p>
    <w:p>
      <w:pPr>
        <w:spacing w:before="320" w:after="80"/>
      </w:pPr>
      <w:r>
        <w:rPr>
          <w:rFonts w:ascii="Arial" w:eastAsia="Arial" w:hAnsi="Arial" w:cs="Arial"/>
          <w:b/>
          <w:bCs/>
          <w:color w:val="000000"/>
          <w:sz w:val="22"/>
          <w:szCs w:val="22"/>
        </w:rPr>
        <w:t xml:space="preserve">Artikel 7 – Aansprakelijkheid en vrijwaring</w:t>
      </w:r>
    </w:p>
    <w:p>
      <w:pPr>
        <w:spacing w:before="40" w:after="40"/>
      </w:pPr>
      <w:r>
        <w:rPr>
          <w:rFonts w:ascii="Arial" w:eastAsia="Arial" w:hAnsi="Arial" w:cs="Arial"/>
          <w:color w:val="000000"/>
        </w:rPr>
        <w:t xml:space="preserve">7.1 De Partner is verantwoordelijk voor zijn eigen implementatie, eerstelijns support en het HR-advies aan zijn Eindklanten.</w:t>
      </w:r>
    </w:p>
    <w:p>
      <w:pPr>
        <w:spacing w:before="40" w:after="40"/>
      </w:pPr>
      <w:r>
        <w:rPr>
          <w:rFonts w:ascii="Arial" w:eastAsia="Arial" w:hAnsi="Arial" w:cs="Arial"/>
          <w:color w:val="000000"/>
        </w:rPr>
        <w:t xml:space="preserve">7.2 In aanvulling op artikel 12 AV vrijwaart de Partner KND volledig voor aanspraken van zijn Eindklanten en van derden die voortvloeien uit of verband houden met de implementatie, het advies of het gebruik van de Dienst door de Partner of zijn Eindklanten.</w:t>
      </w:r>
    </w:p>
    <w:p>
      <w:pPr>
        <w:spacing w:before="40" w:after="40"/>
      </w:pPr>
      <w:r>
        <w:rPr>
          <w:rFonts w:ascii="Arial" w:eastAsia="Arial" w:hAnsi="Arial" w:cs="Arial"/>
          <w:color w:val="000000"/>
        </w:rPr>
        <w:t xml:space="preserve">7.3 De aansprakelijkheidsbeperking van artikel 11 AV geldt voor de Partnerovereenkomst als geheel en niet per Eindklantomgeving. Eindklanten van de Licentiehouder kunnen geen rechten jegens KND ontlenen aan de Partnerovereenkomst.</w:t>
      </w:r>
    </w:p>
    <w:p>
      <w:pPr>
        <w:spacing w:before="320" w:after="80"/>
      </w:pPr>
      <w:r>
        <w:rPr>
          <w:rFonts w:ascii="Arial" w:eastAsia="Arial" w:hAnsi="Arial" w:cs="Arial"/>
          <w:b/>
          <w:bCs/>
          <w:color w:val="000000"/>
          <w:sz w:val="22"/>
          <w:szCs w:val="22"/>
        </w:rPr>
        <w:t xml:space="preserve">Artikel 8 – Merk, referentie en vertrouwelijkheid</w:t>
      </w:r>
    </w:p>
    <w:p>
      <w:pPr>
        <w:spacing w:before="40" w:after="40"/>
      </w:pPr>
      <w:r>
        <w:rPr>
          <w:rFonts w:ascii="Arial" w:eastAsia="Arial" w:hAnsi="Arial" w:cs="Arial"/>
          <w:color w:val="000000"/>
        </w:rPr>
        <w:t xml:space="preserve">8.1 De Partner mag de naam en het merk Functio gebruiken in verkoop en communicatie, met inachtneming van de huisstijlrichtlijnen van KND. KND kan dit gebruik intrekken bij oneigenlijk gebruik.</w:t>
      </w:r>
    </w:p>
    <w:p>
      <w:pPr>
        <w:spacing w:before="40" w:after="40"/>
      </w:pPr>
      <w:r>
        <w:rPr>
          <w:rFonts w:ascii="Arial" w:eastAsia="Arial" w:hAnsi="Arial" w:cs="Arial"/>
          <w:color w:val="000000"/>
        </w:rPr>
        <w:t xml:space="preserve">8.2 KND mag de naam van de Partner en, met toestemming van de Partner, een klantcase gebruiken als referentie.</w:t>
      </w:r>
    </w:p>
    <w:p>
      <w:pPr>
        <w:spacing w:before="40" w:after="40"/>
      </w:pPr>
      <w:r>
        <w:rPr>
          <w:rFonts w:ascii="Arial" w:eastAsia="Arial" w:hAnsi="Arial" w:cs="Arial"/>
          <w:color w:val="000000"/>
        </w:rPr>
        <w:t xml:space="preserve">8.3 Artikel 9 AV geldt onverkort. De Partner borgt de geheimhouding bij zijn medewerkers, consultants en ingeschakelde derden.</w:t>
      </w:r>
    </w:p>
    <w:p>
      <w:pPr>
        <w:spacing w:before="320" w:after="80"/>
      </w:pPr>
      <w:r>
        <w:rPr>
          <w:rFonts w:ascii="Arial" w:eastAsia="Arial" w:hAnsi="Arial" w:cs="Arial"/>
          <w:b/>
          <w:bCs/>
          <w:color w:val="000000"/>
          <w:sz w:val="22"/>
          <w:szCs w:val="22"/>
        </w:rPr>
        <w:t xml:space="preserve">Artikel 9 – Bescherming van platform, methodiek en data</w:t>
      </w:r>
    </w:p>
    <w:p>
      <w:pPr>
        <w:spacing w:before="40" w:after="40"/>
      </w:pPr>
      <w:r>
        <w:rPr>
          <w:rFonts w:ascii="Arial" w:eastAsia="Arial" w:hAnsi="Arial" w:cs="Arial"/>
          <w:color w:val="000000"/>
        </w:rPr>
        <w:t xml:space="preserve">9.1 Alle rechten op de Dienst, de methodiek, de functiematrix, wegingslogica, scoremethoden, functie- en referentiebibliotheken, competentiemodellen, templates, prompts, databases en onderliggende data berusten bij Karin Daanje Beheer B.V., overeenkomstig artikel 6.1, 6.3 en 6.6 AV.</w:t>
      </w:r>
    </w:p>
    <w:p>
      <w:pPr>
        <w:spacing w:before="40" w:after="40"/>
      </w:pPr>
      <w:r>
        <w:rPr>
          <w:rFonts w:ascii="Arial" w:eastAsia="Arial" w:hAnsi="Arial" w:cs="Arial"/>
          <w:color w:val="000000"/>
        </w:rPr>
        <w:t xml:space="preserve">9.2 De Partner krijgt uitsluitend toegang tot de Dienst via de gebruikersinterface binnen de eigen Partneromgeving. De Partner heeft geen recht op toegang tot de database, broncode, API’s of beheeromgeving, tenzij schriftelijk anders overeengekomen.</w:t>
      </w:r>
    </w:p>
    <w:p>
      <w:pPr>
        <w:spacing w:before="40" w:after="40"/>
      </w:pPr>
      <w:r>
        <w:rPr>
          <w:rFonts w:ascii="Arial" w:eastAsia="Arial" w:hAnsi="Arial" w:cs="Arial"/>
          <w:color w:val="000000"/>
        </w:rPr>
        <w:t xml:space="preserve">9.3 In aanvulling op artikel 6.8 AV is het de Partner niet toegestaan om, zelf of via derden:</w:t>
      </w:r>
    </w:p>
    <w:p>
      <w:pPr>
        <w:spacing w:before="30" w:after="30"/>
        <w:ind w:left="880" w:hanging="400"/>
      </w:pPr>
      <w:r>
        <w:rPr>
          <w:rFonts w:ascii="Arial" w:eastAsia="Arial" w:hAnsi="Arial" w:cs="Arial"/>
          <w:color w:val="000000"/>
        </w:rPr>
        <w:t>–</w:t>
        <w:tab/>
        <w:t xml:space="preserve">(delen van) de Dienst, methodiek, bibliotheken of data te kopiëren, na te bootsen of te exporteren buiten de exportmogelijkheden van artikel 6.5 AV;</w:t>
      </w:r>
    </w:p>
    <w:p>
      <w:pPr>
        <w:spacing w:before="30" w:after="30"/>
        <w:ind w:left="880" w:hanging="400"/>
      </w:pPr>
      <w:r>
        <w:rPr>
          <w:rFonts w:ascii="Arial" w:eastAsia="Arial" w:hAnsi="Arial" w:cs="Arial"/>
          <w:color w:val="000000"/>
        </w:rPr>
        <w:t>–</w:t>
        <w:tab/>
        <w:t xml:space="preserve">gegevens uit de Dienst systematisch te downloaden, te verzamelen of te scrapen, al dan niet geautomatiseerd;</w:t>
      </w:r>
    </w:p>
    <w:p>
      <w:pPr>
        <w:spacing w:before="30" w:after="30"/>
        <w:ind w:left="880" w:hanging="400"/>
      </w:pPr>
      <w:r>
        <w:rPr>
          <w:rFonts w:ascii="Arial" w:eastAsia="Arial" w:hAnsi="Arial" w:cs="Arial"/>
          <w:color w:val="000000"/>
        </w:rPr>
        <w:t>–</w:t>
        <w:tab/>
        <w:t xml:space="preserve">de Dienst te decompileren, te reverse-engineeren of de werking ervan te herleiden;</w:t>
      </w:r>
    </w:p>
    <w:p>
      <w:pPr>
        <w:spacing w:before="30" w:after="30"/>
        <w:ind w:left="880" w:hanging="400"/>
      </w:pPr>
      <w:r>
        <w:rPr>
          <w:rFonts w:ascii="Arial" w:eastAsia="Arial" w:hAnsi="Arial" w:cs="Arial"/>
          <w:color w:val="000000"/>
        </w:rPr>
        <w:t>–</w:t>
        <w:tab/>
        <w:t xml:space="preserve">de Dienst, methodiek of data te gebruiken voor het ontwikkelen, verbeteren of trainen van een eigen of concurrerend product, systeem of AI-model;</w:t>
      </w:r>
    </w:p>
    <w:p>
      <w:pPr>
        <w:spacing w:before="30" w:after="30"/>
        <w:ind w:left="880" w:hanging="400"/>
      </w:pPr>
      <w:r>
        <w:rPr>
          <w:rFonts w:ascii="Arial" w:eastAsia="Arial" w:hAnsi="Arial" w:cs="Arial"/>
          <w:color w:val="000000"/>
        </w:rPr>
        <w:t>–</w:t>
        <w:tab/>
        <w:t xml:space="preserve">beveiligingsmaatregelen van de Dienst te omzeilen of dit te proberen.</w:t>
      </w:r>
    </w:p>
    <w:p>
      <w:pPr>
        <w:spacing w:before="40" w:after="40"/>
      </w:pPr>
      <w:r>
        <w:rPr>
          <w:rFonts w:ascii="Arial" w:eastAsia="Arial" w:hAnsi="Arial" w:cs="Arial"/>
          <w:color w:val="000000"/>
        </w:rPr>
        <w:t xml:space="preserve">9.4 De Partner legt deze verplichtingen op aan zijn medewerkers, consultants en Eindklanten en staat in voor de naleving daarvan.</w:t>
      </w:r>
    </w:p>
    <w:p>
      <w:pPr>
        <w:spacing w:before="40" w:after="40"/>
      </w:pPr>
      <w:r>
        <w:rPr>
          <w:rFonts w:ascii="Arial" w:eastAsia="Arial" w:hAnsi="Arial" w:cs="Arial"/>
          <w:color w:val="000000"/>
        </w:rPr>
        <w:t xml:space="preserve">9.5 De verplichtingen uit dit artikel blijven van kracht na beëindiging van de Partnerovereenkomst.</w:t>
      </w:r>
    </w:p>
    <w:p>
      <w:pPr>
        <w:spacing w:before="40" w:after="40"/>
      </w:pPr>
      <w:r>
        <w:rPr>
          <w:rFonts w:ascii="Arial" w:eastAsia="Arial" w:hAnsi="Arial" w:cs="Arial"/>
          <w:color w:val="000000"/>
        </w:rPr>
        <w:t xml:space="preserve">9.6 Bij overtreding van dit artikel verbeurt de Partner, zonder dat een ingebrekestelling vereist is, een direct opeisbare boete van € 25.000 per overtreding, vermeerderd met € 1.000 voor iedere dag dat de overtreding voortduurt, tot een maximum van € 250.000. De boete laat het recht van KND onverlet om nakoming en volledige schadevergoeding te vorderen, de toegang te blokkeren (artikel 3.5 AV) en de Overeenkomst te ontbinden. Artikel 6:92 lid 2 BW is niet van toepassing.</w:t>
      </w:r>
    </w:p>
    <w:p>
      <w:pPr>
        <w:spacing w:before="320" w:after="80"/>
      </w:pPr>
      <w:r>
        <w:rPr>
          <w:rFonts w:ascii="Arial" w:eastAsia="Arial" w:hAnsi="Arial" w:cs="Arial"/>
          <w:b/>
          <w:bCs/>
          <w:color w:val="000000"/>
          <w:sz w:val="22"/>
          <w:szCs w:val="22"/>
        </w:rPr>
        <w:t xml:space="preserve">Artikel 10 – Duur, beëindiging en continuïteit van Eindklanten</w:t>
      </w:r>
    </w:p>
    <w:p>
      <w:pPr>
        <w:spacing w:before="40" w:after="40"/>
      </w:pPr>
      <w:r>
        <w:rPr>
          <w:rFonts w:ascii="Arial" w:eastAsia="Arial" w:hAnsi="Arial" w:cs="Arial"/>
          <w:color w:val="000000"/>
        </w:rPr>
        <w:t xml:space="preserve">10.1 De looptijd van het partnerschap wordt vastgelegd in de Partnerovereenkomst. Voor het overige geldt artikel 13 AV.</w:t>
      </w:r>
    </w:p>
    <w:p>
      <w:pPr>
        <w:spacing w:before="40" w:after="40"/>
      </w:pPr>
      <w:r>
        <w:rPr>
          <w:rFonts w:ascii="Arial" w:eastAsia="Arial" w:hAnsi="Arial" w:cs="Arial"/>
          <w:color w:val="000000"/>
        </w:rPr>
        <w:t xml:space="preserve">10.2 Bij beëindiging van de Partnerovereenkomst maken partijen afspraken over de lopende Eindklantomgevingen: voortzetting via een rechtstreekse Overeenkomst tussen KND en de Eindklant, overdracht aan een andere Partner, of beëindiging conform artikel 13 AV.</w:t>
      </w:r>
    </w:p>
    <w:p>
      <w:pPr>
        <w:spacing w:before="40" w:after="40"/>
      </w:pPr>
      <w:r>
        <w:rPr>
          <w:rFonts w:ascii="Arial" w:eastAsia="Arial" w:hAnsi="Arial" w:cs="Arial"/>
          <w:color w:val="000000"/>
        </w:rPr>
        <w:t xml:space="preserve">10.3 Gegevens van Eindklanten worden bewaard, geëxporteerd en verwijderd conform artikel 6.5 tot en met 6.7 en artikel 13.5 AV.</w:t>
      </w:r>
    </w:p>
    <w:sectPr w:rsidR="001B3440">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4104B2" w14:textId="77777777" w:rsidR="002D2168" w:rsidRDefault="002D2168">
      <w:r>
        <w:separator/>
      </w:r>
    </w:p>
  </w:endnote>
  <w:endnote w:type="continuationSeparator" w:id="0">
    <w:p w14:paraId="7A63466D" w14:textId="77777777" w:rsidR="002D2168" w:rsidRDefault="002D2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DCED7" w14:textId="77777777" w:rsidR="001B3440" w:rsidRDefault="002D2168">
    <w:pPr>
      <w:jc w:val="center"/>
    </w:pPr>
    <w:proofErr w:type="spellStart"/>
    <w:r>
      <w:rPr>
        <w:rFonts w:ascii="Arial" w:eastAsia="Arial" w:hAnsi="Arial" w:cs="Arial"/>
        <w:color w:val="666666"/>
        <w:sz w:val="16"/>
        <w:szCs w:val="16"/>
      </w:rPr>
      <w:t>Addendum</w:t>
    </w:r>
    <w:proofErr w:type="spellEnd"/>
    <w:r>
      <w:rPr>
        <w:rFonts w:ascii="Arial" w:eastAsia="Arial" w:hAnsi="Arial" w:cs="Arial"/>
        <w:color w:val="666666"/>
        <w:sz w:val="16"/>
        <w:szCs w:val="16"/>
      </w:rPr>
      <w:t xml:space="preserve"> </w:t>
    </w:r>
    <w:proofErr w:type="spellStart"/>
    <w:r>
      <w:rPr>
        <w:rFonts w:ascii="Arial" w:eastAsia="Arial" w:hAnsi="Arial" w:cs="Arial"/>
        <w:color w:val="666666"/>
        <w:sz w:val="16"/>
        <w:szCs w:val="16"/>
      </w:rPr>
      <w:t>Partnerprogramma</w:t>
    </w:r>
    <w:proofErr w:type="spellEnd"/>
    <w:r>
      <w:rPr>
        <w:rFonts w:ascii="Arial" w:eastAsia="Arial" w:hAnsi="Arial" w:cs="Arial"/>
        <w:color w:val="666666"/>
        <w:sz w:val="16"/>
        <w:szCs w:val="16"/>
      </w:rPr>
      <w:t xml:space="preserve"> Functio  |  </w:t>
    </w:r>
    <w:proofErr w:type="spellStart"/>
    <w:r>
      <w:rPr>
        <w:rFonts w:ascii="Arial" w:eastAsia="Arial" w:hAnsi="Arial" w:cs="Arial"/>
        <w:color w:val="666666"/>
        <w:sz w:val="16"/>
        <w:szCs w:val="16"/>
      </w:rPr>
      <w:t>Versie</w:t>
    </w:r>
    <w:proofErr w:type="spellEnd"/>
    <w:r>
      <w:rPr>
        <w:rFonts w:ascii="Arial" w:eastAsia="Arial" w:hAnsi="Arial" w:cs="Arial"/>
        <w:color w:val="666666"/>
        <w:sz w:val="16"/>
        <w:szCs w:val="16"/>
      </w:rPr>
      <w:t xml:space="preserve"> 1.1  |  </w:t>
    </w:r>
    <w:proofErr w:type="spellStart"/>
    <w:r>
      <w:rPr>
        <w:rFonts w:ascii="Arial" w:eastAsia="Arial" w:hAnsi="Arial" w:cs="Arial"/>
        <w:color w:val="666666"/>
        <w:sz w:val="16"/>
        <w:szCs w:val="16"/>
      </w:rPr>
      <w:t>Pagina</w:t>
    </w:r>
    <w:proofErr w:type="spellEnd"/>
    <w:r>
      <w:rPr>
        <w:rFonts w:ascii="Arial" w:eastAsia="Arial" w:hAnsi="Arial" w:cs="Arial"/>
        <w:color w:val="666666"/>
        <w:sz w:val="16"/>
        <w:szCs w:val="16"/>
      </w:rPr>
      <w:t xml:space="preserve"> </w:t>
    </w:r>
    <w:r>
      <w:rPr>
        <w:rFonts w:ascii="Arial" w:eastAsia="Arial" w:hAnsi="Arial" w:cs="Arial"/>
        <w:color w:val="666666"/>
        <w:sz w:val="16"/>
        <w:szCs w:val="16"/>
      </w:rPr>
      <w:fldChar w:fldCharType="begin"/>
    </w:r>
    <w:r>
      <w:rPr>
        <w:rFonts w:ascii="Arial" w:eastAsia="Arial" w:hAnsi="Arial" w:cs="Arial"/>
        <w:color w:val="666666"/>
        <w:sz w:val="16"/>
        <w:szCs w:val="16"/>
      </w:rPr>
      <w:instrText>PAGE</w:instrText>
    </w:r>
    <w:r>
      <w:rPr>
        <w:rFonts w:ascii="Arial" w:eastAsia="Arial" w:hAnsi="Arial" w:cs="Arial"/>
        <w:color w:val="666666"/>
        <w:sz w:val="16"/>
        <w:szCs w:val="16"/>
      </w:rPr>
      <w:fldChar w:fldCharType="separate"/>
    </w:r>
    <w:r w:rsidR="00A43719">
      <w:rPr>
        <w:rFonts w:ascii="Arial" w:eastAsia="Arial" w:hAnsi="Arial" w:cs="Arial"/>
        <w:noProof/>
        <w:color w:val="666666"/>
        <w:sz w:val="16"/>
        <w:szCs w:val="16"/>
      </w:rPr>
      <w:t>1</w:t>
    </w:r>
    <w:r>
      <w:rPr>
        <w:rFonts w:ascii="Arial" w:eastAsia="Arial" w:hAnsi="Arial" w:cs="Arial"/>
        <w:color w:val="666666"/>
        <w:sz w:val="16"/>
        <w:szCs w:val="16"/>
      </w:rPr>
      <w:fldChar w:fldCharType="end"/>
    </w:r>
    <w:r>
      <w:rPr>
        <w:rFonts w:ascii="Arial" w:eastAsia="Arial" w:hAnsi="Arial" w:cs="Arial"/>
        <w:color w:val="666666"/>
        <w:sz w:val="16"/>
        <w:szCs w:val="16"/>
      </w:rPr>
      <w:t xml:space="preserve"> van </w:t>
    </w:r>
    <w:r>
      <w:rPr>
        <w:rFonts w:ascii="Arial" w:eastAsia="Arial" w:hAnsi="Arial" w:cs="Arial"/>
        <w:color w:val="666666"/>
        <w:sz w:val="16"/>
        <w:szCs w:val="16"/>
      </w:rPr>
      <w:fldChar w:fldCharType="begin"/>
    </w:r>
    <w:r>
      <w:rPr>
        <w:rFonts w:ascii="Arial" w:eastAsia="Arial" w:hAnsi="Arial" w:cs="Arial"/>
        <w:color w:val="666666"/>
        <w:sz w:val="16"/>
        <w:szCs w:val="16"/>
      </w:rPr>
      <w:instrText>NUMPAGES</w:instrText>
    </w:r>
    <w:r>
      <w:rPr>
        <w:rFonts w:ascii="Arial" w:eastAsia="Arial" w:hAnsi="Arial" w:cs="Arial"/>
        <w:color w:val="666666"/>
        <w:sz w:val="16"/>
        <w:szCs w:val="16"/>
      </w:rPr>
      <w:fldChar w:fldCharType="separate"/>
    </w:r>
    <w:r w:rsidR="00A43719">
      <w:rPr>
        <w:rFonts w:ascii="Arial" w:eastAsia="Arial" w:hAnsi="Arial" w:cs="Arial"/>
        <w:noProof/>
        <w:color w:val="666666"/>
        <w:sz w:val="16"/>
        <w:szCs w:val="16"/>
      </w:rPr>
      <w:t>2</w:t>
    </w:r>
    <w:r>
      <w:rPr>
        <w:rFonts w:ascii="Arial" w:eastAsia="Arial" w:hAnsi="Arial" w:cs="Arial"/>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E59213" w14:textId="77777777" w:rsidR="002D2168" w:rsidRDefault="002D2168">
      <w:r>
        <w:separator/>
      </w:r>
    </w:p>
  </w:footnote>
  <w:footnote w:type="continuationSeparator" w:id="0">
    <w:p w14:paraId="23801219" w14:textId="77777777" w:rsidR="002D2168" w:rsidRDefault="002D2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3F32CB"/>
    <w:multiLevelType w:val="hybridMultilevel"/>
    <w:tmpl w:val="680C16CC"/>
    <w:lvl w:ilvl="0" w:tplc="CF847A2E">
      <w:start w:val="1"/>
      <w:numFmt w:val="bullet"/>
      <w:lvlText w:val="●"/>
      <w:lvlJc w:val="left"/>
      <w:pPr>
        <w:ind w:left="720" w:hanging="360"/>
      </w:pPr>
    </w:lvl>
    <w:lvl w:ilvl="1" w:tplc="C784A96C">
      <w:start w:val="1"/>
      <w:numFmt w:val="bullet"/>
      <w:lvlText w:val="○"/>
      <w:lvlJc w:val="left"/>
      <w:pPr>
        <w:ind w:left="1440" w:hanging="360"/>
      </w:pPr>
    </w:lvl>
    <w:lvl w:ilvl="2" w:tplc="2B54BA88">
      <w:start w:val="1"/>
      <w:numFmt w:val="bullet"/>
      <w:lvlText w:val="■"/>
      <w:lvlJc w:val="left"/>
      <w:pPr>
        <w:ind w:left="2160" w:hanging="360"/>
      </w:pPr>
    </w:lvl>
    <w:lvl w:ilvl="3" w:tplc="74BE2AB6">
      <w:start w:val="1"/>
      <w:numFmt w:val="bullet"/>
      <w:lvlText w:val="●"/>
      <w:lvlJc w:val="left"/>
      <w:pPr>
        <w:ind w:left="2880" w:hanging="360"/>
      </w:pPr>
    </w:lvl>
    <w:lvl w:ilvl="4" w:tplc="DF681A46">
      <w:start w:val="1"/>
      <w:numFmt w:val="bullet"/>
      <w:lvlText w:val="○"/>
      <w:lvlJc w:val="left"/>
      <w:pPr>
        <w:ind w:left="3600" w:hanging="360"/>
      </w:pPr>
    </w:lvl>
    <w:lvl w:ilvl="5" w:tplc="60200380">
      <w:start w:val="1"/>
      <w:numFmt w:val="bullet"/>
      <w:lvlText w:val="■"/>
      <w:lvlJc w:val="left"/>
      <w:pPr>
        <w:ind w:left="4320" w:hanging="360"/>
      </w:pPr>
    </w:lvl>
    <w:lvl w:ilvl="6" w:tplc="9960A7F8">
      <w:start w:val="1"/>
      <w:numFmt w:val="bullet"/>
      <w:lvlText w:val="●"/>
      <w:lvlJc w:val="left"/>
      <w:pPr>
        <w:ind w:left="5040" w:hanging="360"/>
      </w:pPr>
    </w:lvl>
    <w:lvl w:ilvl="7" w:tplc="72CA2530">
      <w:start w:val="1"/>
      <w:numFmt w:val="bullet"/>
      <w:lvlText w:val="●"/>
      <w:lvlJc w:val="left"/>
      <w:pPr>
        <w:ind w:left="5760" w:hanging="360"/>
      </w:pPr>
    </w:lvl>
    <w:lvl w:ilvl="8" w:tplc="2D7425EE">
      <w:start w:val="1"/>
      <w:numFmt w:val="bullet"/>
      <w:lvlText w:val="●"/>
      <w:lvlJc w:val="left"/>
      <w:pPr>
        <w:ind w:left="6480" w:hanging="360"/>
      </w:pPr>
    </w:lvl>
  </w:abstractNum>
  <w:num w:numId="1" w16cid:durableId="4665079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440"/>
    <w:rsid w:val="001B3440"/>
    <w:rsid w:val="002C2FC0"/>
    <w:rsid w:val="002D2168"/>
    <w:rsid w:val="006B651C"/>
    <w:rsid w:val="00A43719"/>
    <w:rsid w:val="00B10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F2F7C5"/>
  <w15:docId w15:val="{075C395B-FCFE-413E-8C93-1759E5F53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1F3D5DC9A0F74CA13D6778FB3C3A43" ma:contentTypeVersion="11" ma:contentTypeDescription="Create a new document." ma:contentTypeScope="" ma:versionID="25480437ca489d0e725de477b3539f6c">
  <xsd:schema xmlns:xsd="http://www.w3.org/2001/XMLSchema" xmlns:xs="http://www.w3.org/2001/XMLSchema" xmlns:p="http://schemas.microsoft.com/office/2006/metadata/properties" xmlns:ns2="9c82ceca-a5df-4e8b-8f23-39813a460776" xmlns:ns3="95968516-caf3-4ccd-b1b6-53d8b66f6a96" targetNamespace="http://schemas.microsoft.com/office/2006/metadata/properties" ma:root="true" ma:fieldsID="54f14f480125a5db39eb624d50808d04" ns2:_="" ns3:_="">
    <xsd:import namespace="9c82ceca-a5df-4e8b-8f23-39813a460776"/>
    <xsd:import namespace="95968516-caf3-4ccd-b1b6-53d8b66f6a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2ceca-a5df-4e8b-8f23-39813a460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450494-f6be-4e9a-ad61-7359d6ee1f4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968516-caf3-4ccd-b1b6-53d8b66f6a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05e156-6c75-414f-ab1c-da871936d0c2}" ma:internalName="TaxCatchAll" ma:showField="CatchAllData" ma:web="95968516-caf3-4ccd-b1b6-53d8b66f6a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82ceca-a5df-4e8b-8f23-39813a460776">
      <Terms xmlns="http://schemas.microsoft.com/office/infopath/2007/PartnerControls"/>
    </lcf76f155ced4ddcb4097134ff3c332f>
    <TaxCatchAll xmlns="95968516-caf3-4ccd-b1b6-53d8b66f6a96" xsi:nil="true"/>
  </documentManagement>
</p:properties>
</file>

<file path=customXml/itemProps1.xml><?xml version="1.0" encoding="utf-8"?>
<ds:datastoreItem xmlns:ds="http://schemas.openxmlformats.org/officeDocument/2006/customXml" ds:itemID="{C12E0217-BD22-410A-A8A8-649B38B7AF50}">
  <ds:schemaRefs>
    <ds:schemaRef ds:uri="http://schemas.microsoft.com/sharepoint/v3/contenttype/forms"/>
  </ds:schemaRefs>
</ds:datastoreItem>
</file>

<file path=customXml/itemProps2.xml><?xml version="1.0" encoding="utf-8"?>
<ds:datastoreItem xmlns:ds="http://schemas.openxmlformats.org/officeDocument/2006/customXml" ds:itemID="{10310B66-9229-4FAD-A86F-6E36F6A7B5FF}">
  <ds:schemaRefs>
    <ds:schemaRef ds:uri="http://schemas.microsoft.com/office/2006/metadata/contentType"/>
    <ds:schemaRef ds:uri="http://schemas.microsoft.com/office/2006/metadata/properties/metaAttributes"/>
    <ds:schemaRef ds:uri="http://www.w3.org/2000/xmlns/"/>
    <ds:schemaRef ds:uri="http://www.w3.org/2001/XMLSchema"/>
    <ds:schemaRef ds:uri="9c82ceca-a5df-4e8b-8f23-39813a460776"/>
    <ds:schemaRef ds:uri="95968516-caf3-4ccd-b1b6-53d8b66f6a96"/>
  </ds:schemaRefs>
</ds:datastoreItem>
</file>

<file path=customXml/itemProps3.xml><?xml version="1.0" encoding="utf-8"?>
<ds:datastoreItem xmlns:ds="http://schemas.openxmlformats.org/officeDocument/2006/customXml" ds:itemID="{55103A9D-F1DF-4E80-B509-9DC0413FAC6C}">
  <ds:schemaRefs>
    <ds:schemaRef ds:uri="http://schemas.microsoft.com/office/2006/metadata/properties"/>
    <ds:schemaRef ds:uri="http://www.w3.org/2000/xmlns/"/>
    <ds:schemaRef ds:uri="9c82ceca-a5df-4e8b-8f23-39813a460776"/>
    <ds:schemaRef ds:uri="http://schemas.microsoft.com/office/infopath/2007/PartnerControls"/>
    <ds:schemaRef ds:uri="95968516-caf3-4ccd-b1b6-53d8b66f6a96"/>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2438</Words>
  <Characters>13414</Characters>
  <Application>Microsoft Office Word</Application>
  <DocSecurity>0</DocSecurity>
  <Lines>111</Lines>
  <Paragraphs>31</Paragraphs>
  <ScaleCrop>false</ScaleCrop>
  <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Karin Daanje</cp:lastModifiedBy>
  <cp:revision>2</cp:revision>
  <dcterms:created xsi:type="dcterms:W3CDTF">2026-07-07T18:40:00Z</dcterms:created>
  <dcterms:modified xsi:type="dcterms:W3CDTF">2026-07-07T18:40:00Z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0x0101005D1F3D5DC9A0F74CA13D6778FB3C3A43</vt:lpwstr>
  </property>
  <property fmtid="{D5CDD505-2E9C-101B-9397-08002B2CF9AE}" pid="3" name="MediaServiceImageTags">
    <vt:lpwstr/>
  </property>
</Properties>
</file>